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4FBAC" w14:textId="77777777" w:rsidR="00E5701B" w:rsidRPr="00D320F3" w:rsidRDefault="00E5701B" w:rsidP="00E5701B">
      <w:pPr>
        <w:pStyle w:val="Teksttreci20"/>
        <w:tabs>
          <w:tab w:val="left" w:pos="7195"/>
          <w:tab w:val="left" w:leader="dot" w:pos="7555"/>
        </w:tabs>
        <w:spacing w:after="120"/>
        <w:jc w:val="both"/>
        <w:rPr>
          <w:rFonts w:ascii="Arial" w:hAnsi="Arial" w:cs="Arial"/>
          <w:bCs w:val="0"/>
          <w:sz w:val="24"/>
          <w:szCs w:val="24"/>
        </w:rPr>
      </w:pPr>
      <w:r w:rsidRPr="00E17A56">
        <w:rPr>
          <w:rFonts w:ascii="Arial" w:hAnsi="Arial" w:cs="Arial"/>
          <w:sz w:val="24"/>
          <w:szCs w:val="24"/>
          <w:shd w:val="clear" w:color="auto" w:fill="FFFFFF"/>
        </w:rPr>
        <w:t xml:space="preserve">Załącznik nr </w:t>
      </w:r>
      <w:r>
        <w:rPr>
          <w:rFonts w:ascii="Arial" w:hAnsi="Arial" w:cs="Arial"/>
          <w:sz w:val="24"/>
          <w:szCs w:val="24"/>
          <w:shd w:val="clear" w:color="auto" w:fill="FFFFFF"/>
        </w:rPr>
        <w:t xml:space="preserve">2.C.1 </w:t>
      </w:r>
      <w:r w:rsidRPr="00E17A56">
        <w:rPr>
          <w:rFonts w:ascii="Arial" w:hAnsi="Arial" w:cs="Arial"/>
          <w:sz w:val="24"/>
          <w:szCs w:val="24"/>
          <w:shd w:val="clear" w:color="auto" w:fill="FFFFFF"/>
        </w:rPr>
        <w:t xml:space="preserve">Wymagania dla wyposażenia pojazdów przewożących </w:t>
      </w:r>
      <w:r>
        <w:rPr>
          <w:rFonts w:ascii="Arial" w:hAnsi="Arial" w:cs="Arial"/>
          <w:sz w:val="24"/>
          <w:szCs w:val="24"/>
          <w:shd w:val="clear" w:color="auto" w:fill="FFFFFF"/>
        </w:rPr>
        <w:t>T</w:t>
      </w:r>
      <w:r w:rsidRPr="00E17A56">
        <w:rPr>
          <w:rFonts w:ascii="Arial" w:hAnsi="Arial" w:cs="Arial"/>
          <w:sz w:val="24"/>
          <w:szCs w:val="24"/>
          <w:shd w:val="clear" w:color="auto" w:fill="FFFFFF"/>
        </w:rPr>
        <w:t xml:space="preserve">owary </w:t>
      </w:r>
      <w:r>
        <w:rPr>
          <w:rFonts w:ascii="Arial" w:hAnsi="Arial" w:cs="Arial"/>
          <w:sz w:val="24"/>
          <w:szCs w:val="24"/>
          <w:shd w:val="clear" w:color="auto" w:fill="FFFFFF"/>
        </w:rPr>
        <w:t>N</w:t>
      </w:r>
      <w:r w:rsidRPr="00E17A56">
        <w:rPr>
          <w:rFonts w:ascii="Arial" w:hAnsi="Arial" w:cs="Arial"/>
          <w:sz w:val="24"/>
          <w:szCs w:val="24"/>
          <w:shd w:val="clear" w:color="auto" w:fill="FFFFFF"/>
        </w:rPr>
        <w:t>iebezpieczne transportem drogowym</w:t>
      </w:r>
      <w:r>
        <w:rPr>
          <w:b w:val="0"/>
          <w:bCs w:val="0"/>
        </w:rPr>
        <w:tab/>
      </w:r>
    </w:p>
    <w:p w14:paraId="0FC7AD29" w14:textId="77777777" w:rsidR="00E5701B" w:rsidRDefault="00E5701B" w:rsidP="00E5701B">
      <w:pPr>
        <w:pStyle w:val="Default"/>
        <w:jc w:val="both"/>
        <w:rPr>
          <w:rFonts w:ascii="Arial" w:hAnsi="Arial" w:cs="Arial"/>
          <w:b/>
          <w:bCs/>
          <w:sz w:val="23"/>
          <w:szCs w:val="23"/>
        </w:rPr>
      </w:pPr>
    </w:p>
    <w:p w14:paraId="7A4AAFCB" w14:textId="77777777" w:rsidR="00E5701B" w:rsidRDefault="00E5701B" w:rsidP="00E5701B">
      <w:pPr>
        <w:pStyle w:val="Default"/>
        <w:jc w:val="both"/>
        <w:rPr>
          <w:rFonts w:ascii="Arial" w:hAnsi="Arial" w:cs="Arial"/>
          <w:b/>
          <w:bCs/>
          <w:sz w:val="23"/>
          <w:szCs w:val="23"/>
        </w:rPr>
      </w:pPr>
    </w:p>
    <w:p w14:paraId="1E46FDE7" w14:textId="77777777" w:rsidR="00E5701B" w:rsidRDefault="00E5701B" w:rsidP="00E5701B">
      <w:pPr>
        <w:pStyle w:val="Default"/>
        <w:spacing w:before="120"/>
        <w:jc w:val="both"/>
        <w:rPr>
          <w:sz w:val="23"/>
          <w:szCs w:val="23"/>
        </w:rPr>
      </w:pPr>
      <w:r>
        <w:rPr>
          <w:rFonts w:ascii="Arial" w:hAnsi="Arial" w:cs="Arial"/>
          <w:b/>
          <w:bCs/>
          <w:sz w:val="23"/>
          <w:szCs w:val="23"/>
        </w:rPr>
        <w:t xml:space="preserve">Wymagania dla wyposażenia pojazdów przewożących Towary Niebezpieczne transportem drogowym. </w:t>
      </w:r>
    </w:p>
    <w:p w14:paraId="248743D6" w14:textId="77777777" w:rsidR="00E5701B" w:rsidRDefault="00E5701B" w:rsidP="00E5701B">
      <w:pPr>
        <w:pStyle w:val="Default"/>
        <w:spacing w:before="120"/>
        <w:jc w:val="both"/>
        <w:rPr>
          <w:rFonts w:ascii="Arial" w:hAnsi="Arial" w:cs="Arial"/>
          <w:sz w:val="20"/>
          <w:szCs w:val="20"/>
        </w:rPr>
      </w:pPr>
      <w:r>
        <w:rPr>
          <w:rFonts w:ascii="Arial" w:hAnsi="Arial" w:cs="Arial"/>
          <w:sz w:val="20"/>
          <w:szCs w:val="20"/>
        </w:rPr>
        <w:t>Każda jednostka transportowa przewożąca Towary Niebezpieczne musi posiadać wyposażenie przeciwpożarowe, awaryjne, środki ochrony indywidualnej oraz musi być oznakowana zgodnie z wymaganymi przepisami prawa krajowego, Umowy ADR oraz wewnętrznymi regulacjami Zleceniodawcy.</w:t>
      </w:r>
    </w:p>
    <w:p w14:paraId="74423611" w14:textId="77777777" w:rsidR="00E5701B" w:rsidRDefault="00E5701B" w:rsidP="00E5701B">
      <w:pPr>
        <w:pStyle w:val="Default"/>
        <w:spacing w:before="120"/>
        <w:jc w:val="both"/>
        <w:rPr>
          <w:sz w:val="20"/>
          <w:szCs w:val="20"/>
        </w:rPr>
      </w:pPr>
      <w:r>
        <w:rPr>
          <w:rFonts w:ascii="Arial" w:hAnsi="Arial" w:cs="Arial"/>
          <w:sz w:val="20"/>
          <w:szCs w:val="20"/>
        </w:rPr>
        <w:t xml:space="preserve"> </w:t>
      </w:r>
    </w:p>
    <w:p w14:paraId="2B211566" w14:textId="77777777" w:rsidR="00E5701B" w:rsidRPr="002A7C95" w:rsidRDefault="00E5701B" w:rsidP="00E5701B">
      <w:pPr>
        <w:pStyle w:val="Default"/>
        <w:numPr>
          <w:ilvl w:val="1"/>
          <w:numId w:val="1"/>
        </w:numPr>
        <w:spacing w:before="120"/>
        <w:jc w:val="both"/>
        <w:rPr>
          <w:rFonts w:ascii="Arial" w:hAnsi="Arial" w:cs="Arial"/>
          <w:b/>
          <w:sz w:val="20"/>
          <w:szCs w:val="20"/>
        </w:rPr>
      </w:pPr>
      <w:r w:rsidRPr="002A7C95">
        <w:rPr>
          <w:rFonts w:ascii="Arial" w:hAnsi="Arial" w:cs="Arial"/>
          <w:b/>
          <w:sz w:val="20"/>
          <w:szCs w:val="20"/>
        </w:rPr>
        <w:t xml:space="preserve">Wyposażenie przeciwpożarowe: </w:t>
      </w:r>
    </w:p>
    <w:p w14:paraId="2F3EC133" w14:textId="77777777" w:rsidR="00E5701B" w:rsidRDefault="00E5701B" w:rsidP="00E5701B">
      <w:pPr>
        <w:pStyle w:val="Default"/>
        <w:numPr>
          <w:ilvl w:val="0"/>
          <w:numId w:val="2"/>
        </w:numPr>
        <w:spacing w:before="120"/>
        <w:jc w:val="both"/>
        <w:rPr>
          <w:sz w:val="20"/>
          <w:szCs w:val="20"/>
        </w:rPr>
      </w:pPr>
      <w:r>
        <w:rPr>
          <w:rFonts w:ascii="Arial" w:hAnsi="Arial" w:cs="Arial"/>
          <w:sz w:val="20"/>
          <w:szCs w:val="20"/>
        </w:rPr>
        <w:t xml:space="preserve">pojazdy przewożące Towary Niebezpieczne o DMC &gt; 7,5 tony muszą posiadać min. </w:t>
      </w:r>
      <w:r w:rsidRPr="00F40F18">
        <w:rPr>
          <w:rFonts w:ascii="Arial" w:hAnsi="Arial" w:cs="Arial"/>
          <w:sz w:val="20"/>
          <w:szCs w:val="20"/>
        </w:rPr>
        <w:t>dwie gaśnice proszkowe ABC o pojemności łącznej min. 12 kg, z czego co najmniej jedną o minimalnej pojemności 2kg proszku ABC oraz co najmniej jedną z gaśnic dodatkowych o minimalnej pojemności 6kg proszku ABC</w:t>
      </w:r>
      <w:r>
        <w:rPr>
          <w:rFonts w:ascii="Arial" w:hAnsi="Arial" w:cs="Arial"/>
          <w:sz w:val="20"/>
          <w:szCs w:val="20"/>
        </w:rPr>
        <w:t xml:space="preserve">; </w:t>
      </w:r>
    </w:p>
    <w:p w14:paraId="15867E86" w14:textId="77777777" w:rsidR="00E5701B" w:rsidRDefault="00E5701B" w:rsidP="00E5701B">
      <w:pPr>
        <w:pStyle w:val="Default"/>
        <w:numPr>
          <w:ilvl w:val="0"/>
          <w:numId w:val="2"/>
        </w:numPr>
        <w:spacing w:before="120"/>
        <w:jc w:val="both"/>
        <w:rPr>
          <w:sz w:val="20"/>
          <w:szCs w:val="20"/>
        </w:rPr>
      </w:pPr>
      <w:r>
        <w:rPr>
          <w:rFonts w:ascii="Arial" w:hAnsi="Arial" w:cs="Arial"/>
          <w:sz w:val="20"/>
          <w:szCs w:val="20"/>
        </w:rPr>
        <w:t>g</w:t>
      </w:r>
      <w:r w:rsidRPr="002A7C95">
        <w:rPr>
          <w:rFonts w:ascii="Arial" w:hAnsi="Arial" w:cs="Arial"/>
          <w:sz w:val="20"/>
          <w:szCs w:val="20"/>
        </w:rPr>
        <w:t>aśnice przenośne</w:t>
      </w:r>
      <w:r>
        <w:rPr>
          <w:rFonts w:ascii="Arial" w:hAnsi="Arial" w:cs="Arial"/>
          <w:sz w:val="20"/>
          <w:szCs w:val="20"/>
        </w:rPr>
        <w:t xml:space="preserve"> muszą być wyposażone w plombę;</w:t>
      </w:r>
    </w:p>
    <w:p w14:paraId="63B0889C" w14:textId="77777777" w:rsidR="00E5701B" w:rsidRDefault="00E5701B" w:rsidP="00E5701B">
      <w:pPr>
        <w:pStyle w:val="Default"/>
        <w:numPr>
          <w:ilvl w:val="0"/>
          <w:numId w:val="2"/>
        </w:numPr>
        <w:spacing w:before="120"/>
        <w:jc w:val="both"/>
        <w:rPr>
          <w:sz w:val="20"/>
          <w:szCs w:val="20"/>
        </w:rPr>
      </w:pPr>
      <w:r>
        <w:rPr>
          <w:rFonts w:ascii="Arial" w:hAnsi="Arial" w:cs="Arial"/>
          <w:sz w:val="20"/>
          <w:szCs w:val="20"/>
        </w:rPr>
        <w:t>g</w:t>
      </w:r>
      <w:r w:rsidRPr="002A7C95">
        <w:rPr>
          <w:rFonts w:ascii="Arial" w:hAnsi="Arial" w:cs="Arial"/>
          <w:sz w:val="20"/>
          <w:szCs w:val="20"/>
        </w:rPr>
        <w:t>aśnice muszą posiadać aktualny</w:t>
      </w:r>
      <w:r>
        <w:rPr>
          <w:rFonts w:ascii="Arial" w:hAnsi="Arial" w:cs="Arial"/>
          <w:sz w:val="20"/>
          <w:szCs w:val="20"/>
        </w:rPr>
        <w:t xml:space="preserve"> przegląd</w:t>
      </w:r>
      <w:r w:rsidRPr="00F40F18">
        <w:rPr>
          <w:rFonts w:ascii="Arial" w:hAnsi="Arial" w:cs="Arial"/>
          <w:sz w:val="20"/>
          <w:szCs w:val="20"/>
        </w:rPr>
        <w:t>, potwierdzony kontrolką, która określa termin kolejnego przeglądu</w:t>
      </w:r>
      <w:r>
        <w:rPr>
          <w:rFonts w:ascii="Arial" w:hAnsi="Arial" w:cs="Arial"/>
          <w:sz w:val="20"/>
          <w:szCs w:val="20"/>
        </w:rPr>
        <w:t>;</w:t>
      </w:r>
      <w:r w:rsidRPr="002A7C95">
        <w:rPr>
          <w:rFonts w:ascii="Arial" w:hAnsi="Arial" w:cs="Arial"/>
          <w:sz w:val="20"/>
          <w:szCs w:val="20"/>
        </w:rPr>
        <w:t xml:space="preserve"> </w:t>
      </w:r>
    </w:p>
    <w:p w14:paraId="0675AFC7" w14:textId="77777777" w:rsidR="00E5701B" w:rsidRPr="002A7C95" w:rsidRDefault="00E5701B" w:rsidP="00E5701B">
      <w:pPr>
        <w:pStyle w:val="Default"/>
        <w:numPr>
          <w:ilvl w:val="0"/>
          <w:numId w:val="2"/>
        </w:numPr>
        <w:spacing w:before="120"/>
        <w:jc w:val="both"/>
        <w:rPr>
          <w:sz w:val="20"/>
          <w:szCs w:val="20"/>
        </w:rPr>
      </w:pPr>
      <w:r>
        <w:rPr>
          <w:rFonts w:ascii="Arial" w:hAnsi="Arial" w:cs="Arial"/>
          <w:sz w:val="20"/>
          <w:szCs w:val="20"/>
        </w:rPr>
        <w:t>g</w:t>
      </w:r>
      <w:r w:rsidRPr="002A7C95">
        <w:rPr>
          <w:rFonts w:ascii="Arial" w:hAnsi="Arial" w:cs="Arial"/>
          <w:sz w:val="20"/>
          <w:szCs w:val="20"/>
        </w:rPr>
        <w:t>aśnice muszą być zamontowane w pojazdach w taki sposób, aby były łatwo dostępne dla załogi pojazdu</w:t>
      </w:r>
      <w:r>
        <w:rPr>
          <w:rFonts w:ascii="Arial" w:hAnsi="Arial" w:cs="Arial"/>
          <w:sz w:val="20"/>
          <w:szCs w:val="20"/>
        </w:rPr>
        <w:t xml:space="preserve"> </w:t>
      </w:r>
      <w:r w:rsidRPr="00F40F18">
        <w:rPr>
          <w:rFonts w:ascii="Arial" w:hAnsi="Arial" w:cs="Arial"/>
          <w:sz w:val="20"/>
          <w:szCs w:val="20"/>
        </w:rPr>
        <w:t>oraz zabezpieczone przed działaniem czynników atmosferycznych, gwarantując ich bezpieczną eksploatację</w:t>
      </w:r>
      <w:r w:rsidRPr="002A7C95">
        <w:rPr>
          <w:rFonts w:ascii="Arial" w:hAnsi="Arial" w:cs="Arial"/>
          <w:sz w:val="20"/>
          <w:szCs w:val="20"/>
        </w:rPr>
        <w:t xml:space="preserve">. </w:t>
      </w:r>
    </w:p>
    <w:p w14:paraId="6BE5165E" w14:textId="77777777" w:rsidR="00E5701B" w:rsidRDefault="00E5701B" w:rsidP="00E5701B">
      <w:pPr>
        <w:pStyle w:val="Default"/>
        <w:spacing w:before="120"/>
        <w:jc w:val="both"/>
        <w:rPr>
          <w:sz w:val="20"/>
          <w:szCs w:val="20"/>
        </w:rPr>
      </w:pPr>
    </w:p>
    <w:p w14:paraId="4E981360" w14:textId="77777777" w:rsidR="00E5701B" w:rsidRDefault="00E5701B" w:rsidP="00E5701B">
      <w:pPr>
        <w:pStyle w:val="Default"/>
        <w:numPr>
          <w:ilvl w:val="1"/>
          <w:numId w:val="1"/>
        </w:numPr>
        <w:spacing w:before="120"/>
        <w:jc w:val="both"/>
        <w:rPr>
          <w:sz w:val="20"/>
          <w:szCs w:val="20"/>
        </w:rPr>
      </w:pPr>
      <w:r>
        <w:rPr>
          <w:rFonts w:ascii="Arial" w:hAnsi="Arial" w:cs="Arial"/>
          <w:b/>
          <w:bCs/>
          <w:sz w:val="20"/>
          <w:szCs w:val="20"/>
        </w:rPr>
        <w:t xml:space="preserve">Wyposażenie awaryjne oraz środki ochrony indywidualnej wymagane w jednostce transportowej: </w:t>
      </w:r>
    </w:p>
    <w:p w14:paraId="3B2C3433"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 xml:space="preserve">klin do podkładania pod koła odpowiadający masie pojazdu i średnicy kół, co najmniej jeden na każdy pojazd; </w:t>
      </w:r>
    </w:p>
    <w:p w14:paraId="29DB58B4"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c</w:t>
      </w:r>
      <w:r w:rsidRPr="002A7C95">
        <w:rPr>
          <w:rFonts w:ascii="Arial" w:hAnsi="Arial" w:cs="Arial"/>
          <w:sz w:val="20"/>
          <w:szCs w:val="20"/>
        </w:rPr>
        <w:t>o najmniej dwa stojące znaki ostrzegawcze (np. pachołki odblaskowe, trójkąty odblaskowe lub lampy błyskowe o świetle barwy pomarańczowej, zasilane niezależnie od in</w:t>
      </w:r>
      <w:r>
        <w:rPr>
          <w:rFonts w:ascii="Arial" w:hAnsi="Arial" w:cs="Arial"/>
          <w:sz w:val="20"/>
          <w:szCs w:val="20"/>
        </w:rPr>
        <w:t>stalacji elektrycznej pojazdu);</w:t>
      </w:r>
    </w:p>
    <w:p w14:paraId="5EE6B280"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p</w:t>
      </w:r>
      <w:r w:rsidRPr="002A7C95">
        <w:rPr>
          <w:rFonts w:ascii="Arial" w:hAnsi="Arial" w:cs="Arial"/>
          <w:sz w:val="20"/>
          <w:szCs w:val="20"/>
        </w:rPr>
        <w:t>łyn do płukania oczu w przypadku przewozu towarów klas 3, 4.1,4.2, 4,</w:t>
      </w:r>
      <w:r>
        <w:rPr>
          <w:rFonts w:ascii="Arial" w:hAnsi="Arial" w:cs="Arial"/>
          <w:sz w:val="20"/>
          <w:szCs w:val="20"/>
        </w:rPr>
        <w:t>3, 5.1, 5.2, 6.1, 6.2, 7, 8 i 9;</w:t>
      </w:r>
      <w:r w:rsidRPr="002A7C95">
        <w:rPr>
          <w:rFonts w:ascii="Arial" w:hAnsi="Arial" w:cs="Arial"/>
          <w:sz w:val="20"/>
          <w:szCs w:val="20"/>
        </w:rPr>
        <w:t xml:space="preserve"> </w:t>
      </w:r>
    </w:p>
    <w:p w14:paraId="535AD2C8"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o</w:t>
      </w:r>
      <w:r w:rsidRPr="002A7C95">
        <w:rPr>
          <w:rFonts w:ascii="Arial" w:hAnsi="Arial" w:cs="Arial"/>
          <w:sz w:val="20"/>
          <w:szCs w:val="20"/>
        </w:rPr>
        <w:t>dpowiednią kamizelkę ostrzegawczą lub inne ubranie ostrzegawcze dla każdego członka zał</w:t>
      </w:r>
      <w:r>
        <w:rPr>
          <w:rFonts w:ascii="Arial" w:hAnsi="Arial" w:cs="Arial"/>
          <w:sz w:val="20"/>
          <w:szCs w:val="20"/>
        </w:rPr>
        <w:t>ogi (określone w normie EN 471);</w:t>
      </w:r>
      <w:r w:rsidRPr="002A7C95">
        <w:rPr>
          <w:rFonts w:ascii="Arial" w:hAnsi="Arial" w:cs="Arial"/>
          <w:sz w:val="20"/>
          <w:szCs w:val="20"/>
        </w:rPr>
        <w:t xml:space="preserve"> </w:t>
      </w:r>
    </w:p>
    <w:p w14:paraId="5E552D47"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w</w:t>
      </w:r>
      <w:r w:rsidRPr="002A7C95">
        <w:rPr>
          <w:rFonts w:ascii="Arial" w:hAnsi="Arial" w:cs="Arial"/>
          <w:sz w:val="20"/>
          <w:szCs w:val="20"/>
        </w:rPr>
        <w:t xml:space="preserve"> sytuacji, kiedy kierowca pracuje w strefie zagrożonej wybuchem lub z towarami łatwopalnymi musi posiadać odpowiednią odzież ochronną o właściwościach ochronnych antyelektrostatycznych - (zgodnie z certyfikatem WE dla</w:t>
      </w:r>
      <w:r>
        <w:rPr>
          <w:rFonts w:ascii="Arial" w:hAnsi="Arial" w:cs="Arial"/>
          <w:sz w:val="20"/>
          <w:szCs w:val="20"/>
        </w:rPr>
        <w:t xml:space="preserve"> wyrobu i deklaracją zgodności);</w:t>
      </w:r>
      <w:r w:rsidRPr="002A7C95">
        <w:rPr>
          <w:rFonts w:ascii="Arial" w:hAnsi="Arial" w:cs="Arial"/>
          <w:sz w:val="20"/>
          <w:szCs w:val="20"/>
        </w:rPr>
        <w:t xml:space="preserve"> </w:t>
      </w:r>
    </w:p>
    <w:p w14:paraId="04B6E8D8"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l</w:t>
      </w:r>
      <w:r w:rsidRPr="002A7C95">
        <w:rPr>
          <w:rFonts w:ascii="Arial" w:hAnsi="Arial" w:cs="Arial"/>
          <w:sz w:val="20"/>
          <w:szCs w:val="20"/>
        </w:rPr>
        <w:t xml:space="preserve">atarkę (niezawierającą powierzchni metalowych mogących spowodować iskrzenie) dla każdego członka załogi (nie dopuszcza się </w:t>
      </w:r>
      <w:r>
        <w:rPr>
          <w:rFonts w:ascii="Arial" w:hAnsi="Arial" w:cs="Arial"/>
          <w:sz w:val="20"/>
          <w:szCs w:val="20"/>
        </w:rPr>
        <w:t>latarki w telefonie komórkowym);</w:t>
      </w:r>
      <w:r w:rsidRPr="002A7C95">
        <w:rPr>
          <w:rFonts w:ascii="Arial" w:hAnsi="Arial" w:cs="Arial"/>
          <w:sz w:val="20"/>
          <w:szCs w:val="20"/>
        </w:rPr>
        <w:t xml:space="preserve"> </w:t>
      </w:r>
    </w:p>
    <w:p w14:paraId="780F5718"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p</w:t>
      </w:r>
      <w:r w:rsidRPr="002A7C95">
        <w:rPr>
          <w:rFonts w:ascii="Arial" w:hAnsi="Arial" w:cs="Arial"/>
          <w:sz w:val="20"/>
          <w:szCs w:val="20"/>
        </w:rPr>
        <w:t>arę rękawic ochronnych odpowiednio dobrane do występujących zagr</w:t>
      </w:r>
      <w:r>
        <w:rPr>
          <w:rFonts w:ascii="Arial" w:hAnsi="Arial" w:cs="Arial"/>
          <w:sz w:val="20"/>
          <w:szCs w:val="20"/>
        </w:rPr>
        <w:t>ożeń dla każdego członka załogi;</w:t>
      </w:r>
      <w:r w:rsidRPr="002A7C95">
        <w:rPr>
          <w:rFonts w:ascii="Arial" w:hAnsi="Arial" w:cs="Arial"/>
          <w:sz w:val="20"/>
          <w:szCs w:val="20"/>
        </w:rPr>
        <w:t xml:space="preserve"> </w:t>
      </w:r>
    </w:p>
    <w:p w14:paraId="7F8D2F7F"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o</w:t>
      </w:r>
      <w:r w:rsidRPr="002A7C95">
        <w:rPr>
          <w:rFonts w:ascii="Arial" w:hAnsi="Arial" w:cs="Arial"/>
          <w:sz w:val="20"/>
          <w:szCs w:val="20"/>
        </w:rPr>
        <w:t xml:space="preserve">kulary ochronne lub przyłbica odpowiednio dobrane do występujących zagrożeń </w:t>
      </w:r>
      <w:r>
        <w:rPr>
          <w:rFonts w:ascii="Arial" w:hAnsi="Arial" w:cs="Arial"/>
          <w:sz w:val="20"/>
          <w:szCs w:val="20"/>
        </w:rPr>
        <w:t>dla każdego członka załogi;</w:t>
      </w:r>
      <w:r w:rsidRPr="002A7C95">
        <w:rPr>
          <w:rFonts w:ascii="Arial" w:hAnsi="Arial" w:cs="Arial"/>
          <w:sz w:val="20"/>
          <w:szCs w:val="20"/>
        </w:rPr>
        <w:t xml:space="preserve"> </w:t>
      </w:r>
    </w:p>
    <w:p w14:paraId="66641E09"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m</w:t>
      </w:r>
      <w:r w:rsidRPr="002A7C95">
        <w:rPr>
          <w:rFonts w:ascii="Arial" w:hAnsi="Arial" w:cs="Arial"/>
          <w:sz w:val="20"/>
          <w:szCs w:val="20"/>
        </w:rPr>
        <w:t>askę ucieczkową dla każdego członka załogi pojazdu prze</w:t>
      </w:r>
      <w:r>
        <w:rPr>
          <w:rFonts w:ascii="Arial" w:hAnsi="Arial" w:cs="Arial"/>
          <w:sz w:val="20"/>
          <w:szCs w:val="20"/>
        </w:rPr>
        <w:t>wożącego towary klasy 2.3 i 6.1;</w:t>
      </w:r>
      <w:r w:rsidRPr="002A7C95">
        <w:rPr>
          <w:rFonts w:ascii="Arial" w:hAnsi="Arial" w:cs="Arial"/>
          <w:sz w:val="20"/>
          <w:szCs w:val="20"/>
        </w:rPr>
        <w:t xml:space="preserve"> </w:t>
      </w:r>
    </w:p>
    <w:p w14:paraId="29E125B3"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ł</w:t>
      </w:r>
      <w:r w:rsidRPr="002A7C95">
        <w:rPr>
          <w:rFonts w:ascii="Arial" w:hAnsi="Arial" w:cs="Arial"/>
          <w:sz w:val="20"/>
          <w:szCs w:val="20"/>
        </w:rPr>
        <w:t xml:space="preserve">opata, sorbent, oraz osłona otworów kanalizacyjnych w przypadku przewozu </w:t>
      </w:r>
      <w:r>
        <w:rPr>
          <w:rFonts w:ascii="Arial" w:hAnsi="Arial" w:cs="Arial"/>
          <w:sz w:val="20"/>
          <w:szCs w:val="20"/>
        </w:rPr>
        <w:t>T</w:t>
      </w:r>
      <w:r w:rsidRPr="002A7C95">
        <w:rPr>
          <w:rFonts w:ascii="Arial" w:hAnsi="Arial" w:cs="Arial"/>
          <w:sz w:val="20"/>
          <w:szCs w:val="20"/>
        </w:rPr>
        <w:t xml:space="preserve">owarów </w:t>
      </w:r>
      <w:r>
        <w:rPr>
          <w:rFonts w:ascii="Arial" w:hAnsi="Arial" w:cs="Arial"/>
          <w:sz w:val="20"/>
          <w:szCs w:val="20"/>
        </w:rPr>
        <w:t>N</w:t>
      </w:r>
      <w:r w:rsidRPr="002A7C95">
        <w:rPr>
          <w:rFonts w:ascii="Arial" w:hAnsi="Arial" w:cs="Arial"/>
          <w:sz w:val="20"/>
          <w:szCs w:val="20"/>
        </w:rPr>
        <w:t>iebezpi</w:t>
      </w:r>
      <w:r>
        <w:rPr>
          <w:rFonts w:ascii="Arial" w:hAnsi="Arial" w:cs="Arial"/>
          <w:sz w:val="20"/>
          <w:szCs w:val="20"/>
        </w:rPr>
        <w:t>ecznych klas 3, 4.1, 4.3, 8 i 9;</w:t>
      </w:r>
      <w:r w:rsidRPr="002A7C95">
        <w:rPr>
          <w:rFonts w:ascii="Arial" w:hAnsi="Arial" w:cs="Arial"/>
          <w:sz w:val="20"/>
          <w:szCs w:val="20"/>
        </w:rPr>
        <w:t xml:space="preserve"> </w:t>
      </w:r>
    </w:p>
    <w:p w14:paraId="3D70031E"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lastRenderedPageBreak/>
        <w:t>z</w:t>
      </w:r>
      <w:r w:rsidRPr="002A7C95">
        <w:rPr>
          <w:rFonts w:ascii="Arial" w:hAnsi="Arial" w:cs="Arial"/>
          <w:sz w:val="20"/>
          <w:szCs w:val="20"/>
        </w:rPr>
        <w:t>estaw do neutralizacji i zbierania pozostałości w przypadku przewozu</w:t>
      </w:r>
      <w:r>
        <w:rPr>
          <w:rFonts w:ascii="Arial" w:hAnsi="Arial" w:cs="Arial"/>
          <w:sz w:val="20"/>
          <w:szCs w:val="20"/>
        </w:rPr>
        <w:t xml:space="preserve"> towarów klas 3, 4.1,4.3,8 i 9;</w:t>
      </w:r>
    </w:p>
    <w:p w14:paraId="0D346D7E" w14:textId="77777777" w:rsidR="00E5701B" w:rsidRDefault="00E5701B" w:rsidP="00E5701B">
      <w:pPr>
        <w:pStyle w:val="Default"/>
        <w:numPr>
          <w:ilvl w:val="0"/>
          <w:numId w:val="3"/>
        </w:numPr>
        <w:spacing w:before="120"/>
        <w:jc w:val="both"/>
        <w:rPr>
          <w:sz w:val="20"/>
          <w:szCs w:val="20"/>
        </w:rPr>
      </w:pPr>
      <w:r>
        <w:rPr>
          <w:rFonts w:ascii="Arial" w:hAnsi="Arial" w:cs="Arial"/>
          <w:sz w:val="20"/>
          <w:szCs w:val="20"/>
        </w:rPr>
        <w:t>o</w:t>
      </w:r>
      <w:r w:rsidRPr="002A7C95">
        <w:rPr>
          <w:rFonts w:ascii="Arial" w:hAnsi="Arial" w:cs="Arial"/>
          <w:sz w:val="20"/>
          <w:szCs w:val="20"/>
        </w:rPr>
        <w:t>buwie robocze w wykonaniu antyelektrostatycz</w:t>
      </w:r>
      <w:r>
        <w:rPr>
          <w:rFonts w:ascii="Arial" w:hAnsi="Arial" w:cs="Arial"/>
          <w:sz w:val="20"/>
          <w:szCs w:val="20"/>
        </w:rPr>
        <w:t>nym dla każdego członka załogi;</w:t>
      </w:r>
    </w:p>
    <w:p w14:paraId="2F593B37" w14:textId="77777777" w:rsidR="00E5701B" w:rsidRPr="002A7C95" w:rsidRDefault="00E5701B" w:rsidP="00E5701B">
      <w:pPr>
        <w:pStyle w:val="Default"/>
        <w:numPr>
          <w:ilvl w:val="0"/>
          <w:numId w:val="3"/>
        </w:numPr>
        <w:spacing w:before="120"/>
        <w:jc w:val="both"/>
        <w:rPr>
          <w:sz w:val="20"/>
          <w:szCs w:val="20"/>
        </w:rPr>
      </w:pPr>
      <w:r>
        <w:rPr>
          <w:rFonts w:ascii="Arial" w:hAnsi="Arial" w:cs="Arial"/>
          <w:sz w:val="20"/>
          <w:szCs w:val="20"/>
        </w:rPr>
        <w:t>k</w:t>
      </w:r>
      <w:r w:rsidRPr="002A7C95">
        <w:rPr>
          <w:rFonts w:ascii="Arial" w:hAnsi="Arial" w:cs="Arial"/>
          <w:sz w:val="20"/>
          <w:szCs w:val="20"/>
        </w:rPr>
        <w:t xml:space="preserve">ask ochronny dla każdego członka załogi. </w:t>
      </w:r>
    </w:p>
    <w:p w14:paraId="0D41688D" w14:textId="77777777" w:rsidR="00E5701B" w:rsidRDefault="00E5701B" w:rsidP="00E5701B">
      <w:pPr>
        <w:pStyle w:val="Default"/>
        <w:spacing w:before="120"/>
        <w:jc w:val="both"/>
        <w:rPr>
          <w:rFonts w:ascii="Arial" w:hAnsi="Arial" w:cs="Arial"/>
          <w:sz w:val="20"/>
          <w:szCs w:val="20"/>
        </w:rPr>
      </w:pPr>
    </w:p>
    <w:p w14:paraId="2154AC36" w14:textId="77777777" w:rsidR="00E5701B" w:rsidRDefault="00E5701B" w:rsidP="00E5701B">
      <w:pPr>
        <w:pStyle w:val="Default"/>
        <w:numPr>
          <w:ilvl w:val="1"/>
          <w:numId w:val="1"/>
        </w:numPr>
        <w:spacing w:before="120"/>
        <w:jc w:val="both"/>
        <w:rPr>
          <w:sz w:val="20"/>
          <w:szCs w:val="20"/>
        </w:rPr>
      </w:pPr>
      <w:r>
        <w:rPr>
          <w:rFonts w:ascii="Arial" w:hAnsi="Arial" w:cs="Arial"/>
          <w:b/>
          <w:bCs/>
          <w:sz w:val="20"/>
          <w:szCs w:val="20"/>
        </w:rPr>
        <w:t xml:space="preserve">Minimalne wymagania dotyczące dokumentacji w jednostce transportowej: </w:t>
      </w:r>
    </w:p>
    <w:p w14:paraId="485F55EE"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 xml:space="preserve">dokument przewozowy sporządzony przez nadawcę w formie możliwej do odczytania i zawierający wszystkie informacje wymagane przez Umowę ADR. Dokument musi być sporządzony w języku kraju nadania, a jeżeli transport będzie odbywał się poza granice kraju nadania, dokument przewozowy należy dodatkowo sporządzić w języku angielskim lub niemieckim lub francuskim; </w:t>
      </w:r>
    </w:p>
    <w:p w14:paraId="0C705BCA"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w</w:t>
      </w:r>
      <w:r w:rsidRPr="002A7C95">
        <w:rPr>
          <w:rFonts w:ascii="Arial" w:hAnsi="Arial" w:cs="Arial"/>
          <w:sz w:val="20"/>
          <w:szCs w:val="20"/>
        </w:rPr>
        <w:t xml:space="preserve">ażne zaświadczenie ADR o przeszkoleniu kierowcy odpowiednie do rodzaju transportu </w:t>
      </w:r>
      <w:r>
        <w:rPr>
          <w:rFonts w:ascii="Arial" w:hAnsi="Arial" w:cs="Arial"/>
          <w:sz w:val="20"/>
          <w:szCs w:val="20"/>
        </w:rPr>
        <w:t>i do klasy przewożonego towaru;</w:t>
      </w:r>
    </w:p>
    <w:p w14:paraId="4D7DFD12"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ważne prawo jazdy;</w:t>
      </w:r>
      <w:r w:rsidRPr="002A7C95">
        <w:rPr>
          <w:rFonts w:ascii="Arial" w:hAnsi="Arial" w:cs="Arial"/>
          <w:sz w:val="20"/>
          <w:szCs w:val="20"/>
        </w:rPr>
        <w:t xml:space="preserve"> </w:t>
      </w:r>
    </w:p>
    <w:p w14:paraId="75626737"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d</w:t>
      </w:r>
      <w:r w:rsidRPr="002A7C95">
        <w:rPr>
          <w:rFonts w:ascii="Arial" w:hAnsi="Arial" w:cs="Arial"/>
          <w:sz w:val="20"/>
          <w:szCs w:val="20"/>
        </w:rPr>
        <w:t>owód rejestracyjny ciągnika oraz naczepy</w:t>
      </w:r>
      <w:r>
        <w:rPr>
          <w:rFonts w:ascii="Arial" w:hAnsi="Arial" w:cs="Arial"/>
          <w:sz w:val="20"/>
          <w:szCs w:val="20"/>
        </w:rPr>
        <w:t>;</w:t>
      </w:r>
      <w:r w:rsidRPr="002A7C95">
        <w:rPr>
          <w:rFonts w:ascii="Arial" w:hAnsi="Arial" w:cs="Arial"/>
          <w:sz w:val="20"/>
          <w:szCs w:val="20"/>
        </w:rPr>
        <w:t xml:space="preserve"> </w:t>
      </w:r>
    </w:p>
    <w:p w14:paraId="5B1E945A"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w</w:t>
      </w:r>
      <w:r w:rsidRPr="002A7C95">
        <w:rPr>
          <w:rFonts w:ascii="Arial" w:hAnsi="Arial" w:cs="Arial"/>
          <w:sz w:val="20"/>
          <w:szCs w:val="20"/>
        </w:rPr>
        <w:t>ażne dokumenty tożsamości wraz ze zdjęciem</w:t>
      </w:r>
      <w:r>
        <w:rPr>
          <w:rFonts w:ascii="Arial" w:hAnsi="Arial" w:cs="Arial"/>
          <w:sz w:val="20"/>
          <w:szCs w:val="20"/>
        </w:rPr>
        <w:t xml:space="preserve"> dla wszystkich członków załogi;</w:t>
      </w:r>
      <w:r w:rsidRPr="002A7C95">
        <w:rPr>
          <w:rFonts w:ascii="Arial" w:hAnsi="Arial" w:cs="Arial"/>
          <w:sz w:val="20"/>
          <w:szCs w:val="20"/>
        </w:rPr>
        <w:t xml:space="preserve"> </w:t>
      </w:r>
    </w:p>
    <w:p w14:paraId="3F2E25C6"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i</w:t>
      </w:r>
      <w:r w:rsidRPr="002A7C95">
        <w:rPr>
          <w:rFonts w:ascii="Arial" w:hAnsi="Arial" w:cs="Arial"/>
          <w:sz w:val="20"/>
          <w:szCs w:val="20"/>
        </w:rPr>
        <w:t>nstrukcje pisemne zgodne ze wzorem podanym w Umowie ADR w języku zrozumia</w:t>
      </w:r>
      <w:r>
        <w:rPr>
          <w:rFonts w:ascii="Arial" w:hAnsi="Arial" w:cs="Arial"/>
          <w:sz w:val="20"/>
          <w:szCs w:val="20"/>
        </w:rPr>
        <w:t>łym dla każdego członka załogi;</w:t>
      </w:r>
    </w:p>
    <w:p w14:paraId="686BF80A"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ś</w:t>
      </w:r>
      <w:r w:rsidRPr="002A7C95">
        <w:rPr>
          <w:rFonts w:ascii="Arial" w:hAnsi="Arial" w:cs="Arial"/>
          <w:sz w:val="20"/>
          <w:szCs w:val="20"/>
        </w:rPr>
        <w:t xml:space="preserve">wiadectwo dopuszczenia pojazdu ADR do przewozu </w:t>
      </w:r>
      <w:r>
        <w:rPr>
          <w:rFonts w:ascii="Arial" w:hAnsi="Arial" w:cs="Arial"/>
          <w:sz w:val="20"/>
          <w:szCs w:val="20"/>
        </w:rPr>
        <w:t>T</w:t>
      </w:r>
      <w:r w:rsidRPr="002A7C95">
        <w:rPr>
          <w:rFonts w:ascii="Arial" w:hAnsi="Arial" w:cs="Arial"/>
          <w:sz w:val="20"/>
          <w:szCs w:val="20"/>
        </w:rPr>
        <w:t xml:space="preserve">owarów </w:t>
      </w:r>
      <w:r>
        <w:rPr>
          <w:rFonts w:ascii="Arial" w:hAnsi="Arial" w:cs="Arial"/>
          <w:sz w:val="20"/>
          <w:szCs w:val="20"/>
        </w:rPr>
        <w:t>N</w:t>
      </w:r>
      <w:r w:rsidRPr="002A7C95">
        <w:rPr>
          <w:rFonts w:ascii="Arial" w:hAnsi="Arial" w:cs="Arial"/>
          <w:sz w:val="20"/>
          <w:szCs w:val="20"/>
        </w:rPr>
        <w:t>iebezpiecznych (dotyczy pojazdów cystern, pojazdów ba</w:t>
      </w:r>
      <w:r>
        <w:rPr>
          <w:rFonts w:ascii="Arial" w:hAnsi="Arial" w:cs="Arial"/>
          <w:sz w:val="20"/>
          <w:szCs w:val="20"/>
        </w:rPr>
        <w:t>terii oraz ciągnika siodłowego);</w:t>
      </w:r>
      <w:r w:rsidRPr="002A7C95">
        <w:rPr>
          <w:rFonts w:ascii="Arial" w:hAnsi="Arial" w:cs="Arial"/>
          <w:sz w:val="20"/>
          <w:szCs w:val="20"/>
        </w:rPr>
        <w:t xml:space="preserve"> </w:t>
      </w:r>
    </w:p>
    <w:p w14:paraId="1117930B" w14:textId="77777777" w:rsidR="00E5701B" w:rsidRDefault="00E5701B" w:rsidP="00E5701B">
      <w:pPr>
        <w:pStyle w:val="Default"/>
        <w:numPr>
          <w:ilvl w:val="0"/>
          <w:numId w:val="4"/>
        </w:numPr>
        <w:spacing w:before="120"/>
        <w:jc w:val="both"/>
        <w:rPr>
          <w:sz w:val="20"/>
          <w:szCs w:val="20"/>
        </w:rPr>
      </w:pPr>
      <w:r>
        <w:rPr>
          <w:rFonts w:ascii="Arial" w:hAnsi="Arial" w:cs="Arial"/>
          <w:sz w:val="20"/>
          <w:szCs w:val="20"/>
        </w:rPr>
        <w:t>w</w:t>
      </w:r>
      <w:r w:rsidRPr="002A7C95">
        <w:rPr>
          <w:rFonts w:ascii="Arial" w:hAnsi="Arial" w:cs="Arial"/>
          <w:sz w:val="20"/>
          <w:szCs w:val="20"/>
        </w:rPr>
        <w:t xml:space="preserve"> sytuacji, kiedy kierowca jest napełniającym, musi posiadać uprawnienia do napełniania zbiorników transportowych odpowiadające klasi</w:t>
      </w:r>
      <w:r>
        <w:rPr>
          <w:rFonts w:ascii="Arial" w:hAnsi="Arial" w:cs="Arial"/>
          <w:sz w:val="20"/>
          <w:szCs w:val="20"/>
        </w:rPr>
        <w:t>e danego Towaru Niebezpiecznego;</w:t>
      </w:r>
      <w:r w:rsidRPr="002A7C95">
        <w:rPr>
          <w:rFonts w:ascii="Arial" w:hAnsi="Arial" w:cs="Arial"/>
          <w:sz w:val="20"/>
          <w:szCs w:val="20"/>
        </w:rPr>
        <w:t xml:space="preserve"> </w:t>
      </w:r>
    </w:p>
    <w:p w14:paraId="5070C6B1" w14:textId="77777777" w:rsidR="00E5701B" w:rsidRPr="00E14B52" w:rsidRDefault="00E5701B" w:rsidP="00E5701B">
      <w:pPr>
        <w:pStyle w:val="Default"/>
        <w:numPr>
          <w:ilvl w:val="0"/>
          <w:numId w:val="4"/>
        </w:numPr>
        <w:spacing w:before="120"/>
        <w:jc w:val="both"/>
        <w:rPr>
          <w:sz w:val="20"/>
          <w:szCs w:val="20"/>
        </w:rPr>
      </w:pPr>
      <w:r>
        <w:rPr>
          <w:rFonts w:ascii="Arial" w:hAnsi="Arial" w:cs="Arial"/>
          <w:sz w:val="20"/>
          <w:szCs w:val="20"/>
        </w:rPr>
        <w:t>i</w:t>
      </w:r>
      <w:r w:rsidRPr="00E14B52">
        <w:rPr>
          <w:rFonts w:ascii="Arial" w:hAnsi="Arial" w:cs="Arial"/>
          <w:sz w:val="20"/>
          <w:szCs w:val="20"/>
        </w:rPr>
        <w:t>nne dokumenty wymagane przepisami prawa krajowego i międzynarodowego</w:t>
      </w:r>
      <w:r>
        <w:rPr>
          <w:rFonts w:ascii="Arial" w:hAnsi="Arial" w:cs="Arial"/>
          <w:sz w:val="20"/>
          <w:szCs w:val="20"/>
        </w:rPr>
        <w:t>.</w:t>
      </w:r>
      <w:r w:rsidRPr="00E14B52">
        <w:rPr>
          <w:rFonts w:ascii="Arial" w:hAnsi="Arial" w:cs="Arial"/>
          <w:sz w:val="20"/>
          <w:szCs w:val="20"/>
        </w:rPr>
        <w:t xml:space="preserve"> </w:t>
      </w:r>
    </w:p>
    <w:p w14:paraId="118348E6" w14:textId="77777777" w:rsidR="00E5701B" w:rsidRDefault="00E5701B" w:rsidP="00E5701B">
      <w:pPr>
        <w:pStyle w:val="Default"/>
        <w:spacing w:before="120"/>
        <w:jc w:val="both"/>
        <w:rPr>
          <w:rFonts w:ascii="Arial" w:hAnsi="Arial" w:cs="Arial"/>
          <w:sz w:val="20"/>
          <w:szCs w:val="20"/>
        </w:rPr>
      </w:pPr>
    </w:p>
    <w:p w14:paraId="749055CD" w14:textId="77777777" w:rsidR="00E5701B" w:rsidRDefault="00E5701B" w:rsidP="00E5701B">
      <w:pPr>
        <w:pStyle w:val="Default"/>
        <w:numPr>
          <w:ilvl w:val="1"/>
          <w:numId w:val="1"/>
        </w:numPr>
        <w:spacing w:before="120"/>
        <w:jc w:val="both"/>
        <w:rPr>
          <w:sz w:val="20"/>
          <w:szCs w:val="20"/>
        </w:rPr>
      </w:pPr>
      <w:r>
        <w:rPr>
          <w:rFonts w:ascii="Arial" w:hAnsi="Arial" w:cs="Arial"/>
          <w:b/>
          <w:bCs/>
          <w:sz w:val="20"/>
          <w:szCs w:val="20"/>
        </w:rPr>
        <w:t xml:space="preserve">Minimalne wymagania dotyczące oznakowania jednostki transportowej </w:t>
      </w:r>
    </w:p>
    <w:p w14:paraId="603886CB" w14:textId="77777777" w:rsidR="00E5701B" w:rsidRDefault="00E5701B" w:rsidP="00E5701B">
      <w:pPr>
        <w:pStyle w:val="Default"/>
        <w:spacing w:before="120"/>
        <w:jc w:val="both"/>
        <w:rPr>
          <w:rFonts w:ascii="Arial" w:hAnsi="Arial" w:cs="Arial"/>
          <w:sz w:val="20"/>
          <w:szCs w:val="20"/>
        </w:rPr>
      </w:pPr>
      <w:r>
        <w:rPr>
          <w:rFonts w:ascii="Arial" w:hAnsi="Arial" w:cs="Arial"/>
          <w:sz w:val="20"/>
          <w:szCs w:val="20"/>
        </w:rPr>
        <w:t xml:space="preserve">Każda jednostka transportowa przewożąca Towary Niebezpieczne musi zostać oznakowana odpowiednimi tablicami barwy pomarańczowej, oraz jeżeli sposób przewozu tego wymaga, dużymi nalepkami ostrzegawczymi. Tablice barwy pomarańczowej oraz nalepki ostrzegawcze muszą być zgodnie ze wzorami i wymaganiami Umowy ADR dla danego przewozu. </w:t>
      </w:r>
    </w:p>
    <w:p w14:paraId="7397F42F" w14:textId="77777777" w:rsidR="00E5701B" w:rsidRDefault="00E5701B" w:rsidP="00E5701B">
      <w:pPr>
        <w:pStyle w:val="Default"/>
        <w:spacing w:before="120"/>
        <w:jc w:val="both"/>
        <w:rPr>
          <w:sz w:val="20"/>
          <w:szCs w:val="20"/>
        </w:rPr>
      </w:pPr>
    </w:p>
    <w:p w14:paraId="277F9222" w14:textId="77777777" w:rsidR="00E5701B" w:rsidRDefault="00E5701B" w:rsidP="00E5701B">
      <w:pPr>
        <w:pStyle w:val="Default"/>
        <w:numPr>
          <w:ilvl w:val="1"/>
          <w:numId w:val="1"/>
        </w:numPr>
        <w:spacing w:before="120"/>
        <w:jc w:val="both"/>
        <w:rPr>
          <w:sz w:val="20"/>
          <w:szCs w:val="20"/>
        </w:rPr>
      </w:pPr>
      <w:r>
        <w:rPr>
          <w:rFonts w:ascii="Arial" w:hAnsi="Arial" w:cs="Arial"/>
          <w:b/>
          <w:bCs/>
          <w:sz w:val="20"/>
          <w:szCs w:val="20"/>
        </w:rPr>
        <w:t xml:space="preserve">Kontrola i konsekwencje związane z brakiem wymaganego wyposażenia </w:t>
      </w:r>
    </w:p>
    <w:p w14:paraId="6415DAEC" w14:textId="77777777" w:rsidR="00E5701B" w:rsidRDefault="00E5701B" w:rsidP="00E5701B">
      <w:pPr>
        <w:pStyle w:val="Default"/>
        <w:spacing w:before="120"/>
        <w:jc w:val="both"/>
        <w:rPr>
          <w:sz w:val="20"/>
          <w:szCs w:val="20"/>
        </w:rPr>
      </w:pPr>
      <w:r>
        <w:rPr>
          <w:rFonts w:ascii="Arial" w:hAnsi="Arial" w:cs="Arial"/>
          <w:sz w:val="20"/>
          <w:szCs w:val="20"/>
        </w:rPr>
        <w:t xml:space="preserve">Zleceniodawca zastrzega sobie prawo do przeprowadzania kontroli jednostek przewożących Towary Niebezpieczne na rzecz Zleceniodawcy. Kontrolę przeprowadza się z wykorzystaniem listy kontrolnej, uprawnionymi do jej przeprowadzenia są: </w:t>
      </w:r>
    </w:p>
    <w:p w14:paraId="357C6EE5" w14:textId="77777777" w:rsidR="00E5701B" w:rsidRDefault="00E5701B" w:rsidP="00E5701B">
      <w:pPr>
        <w:pStyle w:val="Default"/>
        <w:numPr>
          <w:ilvl w:val="0"/>
          <w:numId w:val="5"/>
        </w:numPr>
        <w:spacing w:before="120"/>
        <w:jc w:val="both"/>
        <w:rPr>
          <w:rFonts w:ascii="Arial" w:hAnsi="Arial" w:cs="Arial"/>
          <w:sz w:val="20"/>
          <w:szCs w:val="20"/>
        </w:rPr>
      </w:pPr>
      <w:r>
        <w:rPr>
          <w:rFonts w:ascii="Arial" w:hAnsi="Arial" w:cs="Arial"/>
          <w:sz w:val="20"/>
          <w:szCs w:val="20"/>
        </w:rPr>
        <w:t xml:space="preserve">doradca do spraw bezpieczeństwa; </w:t>
      </w:r>
    </w:p>
    <w:p w14:paraId="01B714E5" w14:textId="77777777" w:rsidR="00E5701B" w:rsidRPr="002A7C95" w:rsidRDefault="00E5701B" w:rsidP="00E5701B">
      <w:pPr>
        <w:pStyle w:val="Default"/>
        <w:numPr>
          <w:ilvl w:val="0"/>
          <w:numId w:val="5"/>
        </w:numPr>
        <w:spacing w:before="120"/>
        <w:jc w:val="both"/>
        <w:rPr>
          <w:rFonts w:ascii="Arial" w:hAnsi="Arial" w:cs="Arial"/>
          <w:sz w:val="20"/>
          <w:szCs w:val="20"/>
        </w:rPr>
      </w:pPr>
      <w:r w:rsidRPr="002A7C95">
        <w:rPr>
          <w:rFonts w:ascii="Arial" w:hAnsi="Arial" w:cs="Arial"/>
          <w:sz w:val="20"/>
          <w:szCs w:val="20"/>
        </w:rPr>
        <w:t xml:space="preserve">osoby kierujące komórkami organizacyjnymi, w których wykonywane są czynności związane z załadunkiem, rozładunkiem oraz napełnianiem pojazdów </w:t>
      </w:r>
      <w:r>
        <w:rPr>
          <w:rFonts w:ascii="Arial" w:hAnsi="Arial" w:cs="Arial"/>
          <w:sz w:val="20"/>
          <w:szCs w:val="20"/>
        </w:rPr>
        <w:t>T</w:t>
      </w:r>
      <w:r w:rsidRPr="002A7C95">
        <w:rPr>
          <w:rFonts w:ascii="Arial" w:hAnsi="Arial" w:cs="Arial"/>
          <w:sz w:val="20"/>
          <w:szCs w:val="20"/>
        </w:rPr>
        <w:t xml:space="preserve">owarami </w:t>
      </w:r>
      <w:r>
        <w:rPr>
          <w:rFonts w:ascii="Arial" w:hAnsi="Arial" w:cs="Arial"/>
          <w:sz w:val="20"/>
          <w:szCs w:val="20"/>
        </w:rPr>
        <w:t>N</w:t>
      </w:r>
      <w:r w:rsidRPr="002A7C95">
        <w:rPr>
          <w:rFonts w:ascii="Arial" w:hAnsi="Arial" w:cs="Arial"/>
          <w:sz w:val="20"/>
          <w:szCs w:val="20"/>
        </w:rPr>
        <w:t xml:space="preserve">iebezpiecznymi lub osoby przez nich upoważnione. </w:t>
      </w:r>
    </w:p>
    <w:p w14:paraId="67A95687" w14:textId="77777777" w:rsidR="00E5701B" w:rsidRDefault="00E5701B" w:rsidP="00E5701B">
      <w:pPr>
        <w:pStyle w:val="Default"/>
        <w:spacing w:before="120"/>
        <w:jc w:val="both"/>
        <w:rPr>
          <w:sz w:val="20"/>
          <w:szCs w:val="20"/>
        </w:rPr>
      </w:pPr>
      <w:r>
        <w:rPr>
          <w:rFonts w:ascii="Arial" w:hAnsi="Arial" w:cs="Arial"/>
          <w:sz w:val="20"/>
          <w:szCs w:val="20"/>
        </w:rPr>
        <w:t xml:space="preserve">W sytuacji stwierdzenia podczas kontroli niezgodności z wymaganiami Umowy ADR, pojazd nie może zostać dopuszczony do załadunku do czasu usunięcia niezgodności. </w:t>
      </w:r>
    </w:p>
    <w:p w14:paraId="666961DE" w14:textId="77777777" w:rsidR="00E5701B" w:rsidRDefault="00E5701B" w:rsidP="00E5701B">
      <w:pPr>
        <w:pStyle w:val="Default"/>
        <w:spacing w:before="120"/>
        <w:jc w:val="both"/>
        <w:rPr>
          <w:sz w:val="20"/>
          <w:szCs w:val="20"/>
        </w:rPr>
      </w:pPr>
    </w:p>
    <w:p w14:paraId="73DC76E9" w14:textId="77777777" w:rsidR="00E5701B" w:rsidRDefault="00E5701B" w:rsidP="00E5701B">
      <w:pPr>
        <w:spacing w:before="120" w:after="0" w:line="240" w:lineRule="auto"/>
        <w:jc w:val="both"/>
      </w:pPr>
      <w:r>
        <w:rPr>
          <w:rFonts w:ascii="Arial" w:hAnsi="Arial" w:cs="Arial"/>
          <w:sz w:val="20"/>
          <w:szCs w:val="20"/>
        </w:rPr>
        <w:t>Jeśli kontrola pojazdu odbywa się w trakcie załadunku lub po jego zakończeniu, a w jej wyniku zostaną ujawnione niezgodności z wymogami Umowy ADR pojazd nie może zostać dopuszczony do ruchu do czasu usunięcia wskazanych niezgodności.</w:t>
      </w:r>
    </w:p>
    <w:p w14:paraId="6BCAACBF" w14:textId="77777777" w:rsidR="00E5701B" w:rsidRDefault="00E5701B" w:rsidP="00E5701B"/>
    <w:p w14:paraId="1111451E" w14:textId="77777777" w:rsidR="002A1964" w:rsidRDefault="002A1964"/>
    <w:sectPr w:rsidR="002A1964" w:rsidSect="00E5701B">
      <w:footerReference w:type="even" r:id="rId7"/>
      <w:footerReference w:type="default" r:id="rId8"/>
      <w:footerReference w:type="first" r:id="rId9"/>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55ECC" w14:textId="77777777" w:rsidR="007D6309" w:rsidRDefault="007D6309" w:rsidP="00E5701B">
      <w:pPr>
        <w:spacing w:after="0" w:line="240" w:lineRule="auto"/>
      </w:pPr>
      <w:r>
        <w:separator/>
      </w:r>
    </w:p>
  </w:endnote>
  <w:endnote w:type="continuationSeparator" w:id="0">
    <w:p w14:paraId="2705FDD5" w14:textId="77777777" w:rsidR="007D6309" w:rsidRDefault="007D6309" w:rsidP="00E57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59030" w14:textId="77777777" w:rsidR="00E5701B" w:rsidRDefault="00E5701B">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1580"/>
      <w:gridCol w:w="1580"/>
      <w:gridCol w:w="2111"/>
      <w:gridCol w:w="2637"/>
    </w:tblGrid>
    <w:tr w:rsidR="00C61635" w14:paraId="32EAF49F" w14:textId="77777777">
      <w:tc>
        <w:tcPr>
          <w:tcW w:w="0" w:type="auto"/>
          <w:vAlign w:val="center"/>
        </w:tcPr>
        <w:p w14:paraId="75C952E2" w14:textId="77777777" w:rsidR="00E5701B" w:rsidRDefault="00E5701B">
          <w:pPr>
            <w:spacing w:line="240" w:lineRule="auto"/>
          </w:pPr>
          <w:r>
            <w:rPr>
              <w:sz w:val="16"/>
            </w:rPr>
            <w:t>Rodzaj</w:t>
          </w:r>
        </w:p>
      </w:tc>
      <w:tc>
        <w:tcPr>
          <w:tcW w:w="0" w:type="auto"/>
          <w:vAlign w:val="center"/>
        </w:tcPr>
        <w:p w14:paraId="477D92F3" w14:textId="77777777" w:rsidR="00E5701B" w:rsidRDefault="00E5701B">
          <w:pPr>
            <w:spacing w:line="240" w:lineRule="auto"/>
          </w:pPr>
          <w:r>
            <w:rPr>
              <w:sz w:val="16"/>
            </w:rPr>
            <w:t>ID umowy</w:t>
          </w:r>
        </w:p>
      </w:tc>
      <w:tc>
        <w:tcPr>
          <w:tcW w:w="0" w:type="auto"/>
          <w:vAlign w:val="center"/>
        </w:tcPr>
        <w:p w14:paraId="377B4F04" w14:textId="77777777" w:rsidR="00E5701B" w:rsidRDefault="00E5701B">
          <w:pPr>
            <w:spacing w:line="240" w:lineRule="auto"/>
          </w:pPr>
          <w:r>
            <w:rPr>
              <w:sz w:val="16"/>
            </w:rPr>
            <w:t>ID pliku</w:t>
          </w:r>
        </w:p>
      </w:tc>
      <w:tc>
        <w:tcPr>
          <w:tcW w:w="0" w:type="auto"/>
          <w:vAlign w:val="center"/>
        </w:tcPr>
        <w:p w14:paraId="10932506" w14:textId="77777777" w:rsidR="00E5701B" w:rsidRDefault="00E5701B">
          <w:pPr>
            <w:spacing w:line="240" w:lineRule="auto"/>
          </w:pPr>
          <w:r>
            <w:rPr>
              <w:sz w:val="16"/>
            </w:rPr>
            <w:t>Stan</w:t>
          </w:r>
        </w:p>
      </w:tc>
      <w:tc>
        <w:tcPr>
          <w:tcW w:w="0" w:type="auto"/>
          <w:vAlign w:val="center"/>
        </w:tcPr>
        <w:p w14:paraId="77FFFF1D" w14:textId="77777777" w:rsidR="00E5701B" w:rsidRDefault="00E5701B">
          <w:pPr>
            <w:spacing w:line="240" w:lineRule="auto"/>
          </w:pPr>
          <w:r>
            <w:rPr>
              <w:sz w:val="16"/>
            </w:rPr>
            <w:t>Data modyfikacji</w:t>
          </w:r>
        </w:p>
      </w:tc>
    </w:tr>
    <w:tr w:rsidR="00C61635" w14:paraId="50657F6F" w14:textId="77777777">
      <w:tc>
        <w:tcPr>
          <w:tcW w:w="0" w:type="auto"/>
          <w:vAlign w:val="center"/>
        </w:tcPr>
        <w:p w14:paraId="7AB73F9D" w14:textId="77777777" w:rsidR="00E5701B" w:rsidRDefault="00E5701B">
          <w:pPr>
            <w:spacing w:line="240" w:lineRule="auto"/>
          </w:pPr>
          <w:r>
            <w:rPr>
              <w:sz w:val="16"/>
            </w:rPr>
            <w:t>Finalna</w:t>
          </w:r>
        </w:p>
      </w:tc>
      <w:tc>
        <w:tcPr>
          <w:tcW w:w="0" w:type="auto"/>
          <w:vAlign w:val="center"/>
        </w:tcPr>
        <w:p w14:paraId="631071A7" w14:textId="77777777" w:rsidR="00E5701B" w:rsidRDefault="00E5701B">
          <w:pPr>
            <w:spacing w:line="240" w:lineRule="auto"/>
          </w:pPr>
          <w:r>
            <w:rPr>
              <w:sz w:val="16"/>
            </w:rPr>
            <w:t>307663002</w:t>
          </w:r>
        </w:p>
      </w:tc>
      <w:tc>
        <w:tcPr>
          <w:tcW w:w="0" w:type="auto"/>
          <w:vAlign w:val="center"/>
        </w:tcPr>
        <w:p w14:paraId="08E50B2F" w14:textId="77777777" w:rsidR="00E5701B" w:rsidRDefault="00E5701B">
          <w:pPr>
            <w:spacing w:line="240" w:lineRule="auto"/>
          </w:pPr>
          <w:r>
            <w:rPr>
              <w:sz w:val="16"/>
            </w:rPr>
            <w:t>309410057</w:t>
          </w:r>
        </w:p>
      </w:tc>
      <w:tc>
        <w:tcPr>
          <w:tcW w:w="0" w:type="auto"/>
          <w:vAlign w:val="center"/>
        </w:tcPr>
        <w:p w14:paraId="55EAB2AF" w14:textId="77777777" w:rsidR="00E5701B" w:rsidRDefault="00E5701B">
          <w:pPr>
            <w:spacing w:line="240" w:lineRule="auto"/>
          </w:pPr>
          <w:r>
            <w:rPr>
              <w:sz w:val="16"/>
            </w:rPr>
            <w:t>Zaakceptowana</w:t>
          </w:r>
        </w:p>
      </w:tc>
      <w:tc>
        <w:tcPr>
          <w:tcW w:w="0" w:type="auto"/>
          <w:vAlign w:val="center"/>
        </w:tcPr>
        <w:p w14:paraId="27D5CEA6" w14:textId="77777777" w:rsidR="00E5701B" w:rsidRDefault="00E5701B">
          <w:pPr>
            <w:spacing w:line="240" w:lineRule="auto"/>
          </w:pPr>
          <w:r>
            <w:rPr>
              <w:sz w:val="16"/>
            </w:rPr>
            <w:t>2024-12-11 10:34:53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2CD4F" w14:textId="77777777" w:rsidR="00E5701B" w:rsidRDefault="00E5701B">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9411C" w14:textId="77777777" w:rsidR="00E5701B" w:rsidRDefault="00E5701B">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1580"/>
      <w:gridCol w:w="1580"/>
      <w:gridCol w:w="2111"/>
      <w:gridCol w:w="2637"/>
    </w:tblGrid>
    <w:tr w:rsidR="00C61635" w14:paraId="462113D1" w14:textId="77777777">
      <w:tc>
        <w:tcPr>
          <w:tcW w:w="0" w:type="auto"/>
          <w:vAlign w:val="center"/>
        </w:tcPr>
        <w:p w14:paraId="1173D153" w14:textId="77777777" w:rsidR="00E5701B" w:rsidRDefault="00E5701B">
          <w:pPr>
            <w:spacing w:line="240" w:lineRule="auto"/>
          </w:pPr>
          <w:r>
            <w:rPr>
              <w:sz w:val="16"/>
            </w:rPr>
            <w:t>Rodzaj</w:t>
          </w:r>
        </w:p>
      </w:tc>
      <w:tc>
        <w:tcPr>
          <w:tcW w:w="0" w:type="auto"/>
          <w:vAlign w:val="center"/>
        </w:tcPr>
        <w:p w14:paraId="23322443" w14:textId="77777777" w:rsidR="00E5701B" w:rsidRDefault="00E5701B">
          <w:pPr>
            <w:spacing w:line="240" w:lineRule="auto"/>
          </w:pPr>
          <w:r>
            <w:rPr>
              <w:sz w:val="16"/>
            </w:rPr>
            <w:t>ID umowy</w:t>
          </w:r>
        </w:p>
      </w:tc>
      <w:tc>
        <w:tcPr>
          <w:tcW w:w="0" w:type="auto"/>
          <w:vAlign w:val="center"/>
        </w:tcPr>
        <w:p w14:paraId="55A5E047" w14:textId="77777777" w:rsidR="00E5701B" w:rsidRDefault="00E5701B">
          <w:pPr>
            <w:spacing w:line="240" w:lineRule="auto"/>
          </w:pPr>
          <w:r>
            <w:rPr>
              <w:sz w:val="16"/>
            </w:rPr>
            <w:t>ID pliku</w:t>
          </w:r>
        </w:p>
      </w:tc>
      <w:tc>
        <w:tcPr>
          <w:tcW w:w="0" w:type="auto"/>
          <w:vAlign w:val="center"/>
        </w:tcPr>
        <w:p w14:paraId="5799D7A3" w14:textId="77777777" w:rsidR="00E5701B" w:rsidRDefault="00E5701B">
          <w:pPr>
            <w:spacing w:line="240" w:lineRule="auto"/>
          </w:pPr>
          <w:r>
            <w:rPr>
              <w:sz w:val="16"/>
            </w:rPr>
            <w:t>Stan</w:t>
          </w:r>
        </w:p>
      </w:tc>
      <w:tc>
        <w:tcPr>
          <w:tcW w:w="0" w:type="auto"/>
          <w:vAlign w:val="center"/>
        </w:tcPr>
        <w:p w14:paraId="43F26BDF" w14:textId="77777777" w:rsidR="00E5701B" w:rsidRDefault="00E5701B">
          <w:pPr>
            <w:spacing w:line="240" w:lineRule="auto"/>
          </w:pPr>
          <w:r>
            <w:rPr>
              <w:sz w:val="16"/>
            </w:rPr>
            <w:t>Data modyfikacji</w:t>
          </w:r>
        </w:p>
      </w:tc>
    </w:tr>
    <w:tr w:rsidR="00C61635" w14:paraId="6A6657AE" w14:textId="77777777">
      <w:tc>
        <w:tcPr>
          <w:tcW w:w="0" w:type="auto"/>
          <w:vAlign w:val="center"/>
        </w:tcPr>
        <w:p w14:paraId="7E020F8A" w14:textId="77777777" w:rsidR="00E5701B" w:rsidRDefault="00E5701B">
          <w:pPr>
            <w:spacing w:line="240" w:lineRule="auto"/>
          </w:pPr>
          <w:r>
            <w:rPr>
              <w:sz w:val="16"/>
            </w:rPr>
            <w:t>Finalna</w:t>
          </w:r>
        </w:p>
      </w:tc>
      <w:tc>
        <w:tcPr>
          <w:tcW w:w="0" w:type="auto"/>
          <w:vAlign w:val="center"/>
        </w:tcPr>
        <w:p w14:paraId="301B2070" w14:textId="77777777" w:rsidR="00E5701B" w:rsidRDefault="00E5701B">
          <w:pPr>
            <w:spacing w:line="240" w:lineRule="auto"/>
          </w:pPr>
          <w:r>
            <w:rPr>
              <w:sz w:val="16"/>
            </w:rPr>
            <w:t>307663002</w:t>
          </w:r>
        </w:p>
      </w:tc>
      <w:tc>
        <w:tcPr>
          <w:tcW w:w="0" w:type="auto"/>
          <w:vAlign w:val="center"/>
        </w:tcPr>
        <w:p w14:paraId="1BB8338B" w14:textId="77777777" w:rsidR="00E5701B" w:rsidRDefault="00E5701B">
          <w:pPr>
            <w:spacing w:line="240" w:lineRule="auto"/>
          </w:pPr>
          <w:r>
            <w:rPr>
              <w:sz w:val="16"/>
            </w:rPr>
            <w:t>309410057</w:t>
          </w:r>
        </w:p>
      </w:tc>
      <w:tc>
        <w:tcPr>
          <w:tcW w:w="0" w:type="auto"/>
          <w:vAlign w:val="center"/>
        </w:tcPr>
        <w:p w14:paraId="049E2095" w14:textId="77777777" w:rsidR="00E5701B" w:rsidRDefault="00E5701B">
          <w:pPr>
            <w:spacing w:line="240" w:lineRule="auto"/>
          </w:pPr>
          <w:r>
            <w:rPr>
              <w:sz w:val="16"/>
            </w:rPr>
            <w:t>Zaakceptowana</w:t>
          </w:r>
        </w:p>
      </w:tc>
      <w:tc>
        <w:tcPr>
          <w:tcW w:w="0" w:type="auto"/>
          <w:vAlign w:val="center"/>
        </w:tcPr>
        <w:p w14:paraId="4154B9BD" w14:textId="77777777" w:rsidR="00E5701B" w:rsidRDefault="00E5701B">
          <w:pPr>
            <w:spacing w:line="240" w:lineRule="auto"/>
          </w:pPr>
          <w:r>
            <w:rPr>
              <w:sz w:val="16"/>
            </w:rPr>
            <w:t>2024-12-11 10:34:53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DDA96" w14:textId="77777777" w:rsidR="007D6309" w:rsidRDefault="007D6309" w:rsidP="00E5701B">
      <w:pPr>
        <w:spacing w:after="0" w:line="240" w:lineRule="auto"/>
      </w:pPr>
      <w:r>
        <w:separator/>
      </w:r>
    </w:p>
  </w:footnote>
  <w:footnote w:type="continuationSeparator" w:id="0">
    <w:p w14:paraId="4089FF65" w14:textId="77777777" w:rsidR="007D6309" w:rsidRDefault="007D6309" w:rsidP="00E570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24656"/>
    <w:multiLevelType w:val="hybridMultilevel"/>
    <w:tmpl w:val="08ECB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7920F7E"/>
    <w:multiLevelType w:val="hybridMultilevel"/>
    <w:tmpl w:val="34504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E3359D1"/>
    <w:multiLevelType w:val="multilevel"/>
    <w:tmpl w:val="13B09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67465D3"/>
    <w:multiLevelType w:val="hybridMultilevel"/>
    <w:tmpl w:val="3D4C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6D71CF0"/>
    <w:multiLevelType w:val="hybridMultilevel"/>
    <w:tmpl w:val="BC78D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68041790">
    <w:abstractNumId w:val="2"/>
  </w:num>
  <w:num w:numId="2" w16cid:durableId="1772431050">
    <w:abstractNumId w:val="0"/>
  </w:num>
  <w:num w:numId="3" w16cid:durableId="2031639498">
    <w:abstractNumId w:val="1"/>
  </w:num>
  <w:num w:numId="4" w16cid:durableId="889920350">
    <w:abstractNumId w:val="4"/>
  </w:num>
  <w:num w:numId="5" w16cid:durableId="934248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01B"/>
    <w:rsid w:val="000C0395"/>
    <w:rsid w:val="001108A4"/>
    <w:rsid w:val="002A1964"/>
    <w:rsid w:val="007D6309"/>
    <w:rsid w:val="009A4D02"/>
    <w:rsid w:val="00E5701B"/>
    <w:rsid w:val="00EE0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2A701"/>
  <w15:chartTrackingRefBased/>
  <w15:docId w15:val="{42814A59-28CB-44A4-868E-0B018C44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01B"/>
    <w:rPr>
      <w:kern w:val="0"/>
      <w14:ligatures w14:val="none"/>
    </w:rPr>
  </w:style>
  <w:style w:type="paragraph" w:styleId="Nagwek1">
    <w:name w:val="heading 1"/>
    <w:basedOn w:val="Normalny"/>
    <w:next w:val="Normalny"/>
    <w:link w:val="Nagwek1Znak"/>
    <w:uiPriority w:val="9"/>
    <w:qFormat/>
    <w:rsid w:val="00E5701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E5701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E5701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E5701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E5701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E5701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5701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5701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5701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701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E5701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E5701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E5701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E5701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E5701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5701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5701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5701B"/>
    <w:rPr>
      <w:rFonts w:eastAsiaTheme="majorEastAsia" w:cstheme="majorBidi"/>
      <w:color w:val="272727" w:themeColor="text1" w:themeTint="D8"/>
    </w:rPr>
  </w:style>
  <w:style w:type="paragraph" w:styleId="Tytu">
    <w:name w:val="Title"/>
    <w:basedOn w:val="Normalny"/>
    <w:next w:val="Normalny"/>
    <w:link w:val="TytuZnak"/>
    <w:uiPriority w:val="10"/>
    <w:qFormat/>
    <w:rsid w:val="00E570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5701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5701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5701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5701B"/>
    <w:pPr>
      <w:spacing w:before="160"/>
      <w:jc w:val="center"/>
    </w:pPr>
    <w:rPr>
      <w:i/>
      <w:iCs/>
      <w:color w:val="404040" w:themeColor="text1" w:themeTint="BF"/>
    </w:rPr>
  </w:style>
  <w:style w:type="character" w:customStyle="1" w:styleId="CytatZnak">
    <w:name w:val="Cytat Znak"/>
    <w:basedOn w:val="Domylnaczcionkaakapitu"/>
    <w:link w:val="Cytat"/>
    <w:uiPriority w:val="29"/>
    <w:rsid w:val="00E5701B"/>
    <w:rPr>
      <w:i/>
      <w:iCs/>
      <w:color w:val="404040" w:themeColor="text1" w:themeTint="BF"/>
    </w:rPr>
  </w:style>
  <w:style w:type="paragraph" w:styleId="Akapitzlist">
    <w:name w:val="List Paragraph"/>
    <w:basedOn w:val="Normalny"/>
    <w:uiPriority w:val="34"/>
    <w:qFormat/>
    <w:rsid w:val="00E5701B"/>
    <w:pPr>
      <w:ind w:left="720"/>
      <w:contextualSpacing/>
    </w:pPr>
  </w:style>
  <w:style w:type="character" w:styleId="Wyrnienieintensywne">
    <w:name w:val="Intense Emphasis"/>
    <w:basedOn w:val="Domylnaczcionkaakapitu"/>
    <w:uiPriority w:val="21"/>
    <w:qFormat/>
    <w:rsid w:val="00E5701B"/>
    <w:rPr>
      <w:i/>
      <w:iCs/>
      <w:color w:val="2E74B5" w:themeColor="accent1" w:themeShade="BF"/>
    </w:rPr>
  </w:style>
  <w:style w:type="paragraph" w:styleId="Cytatintensywny">
    <w:name w:val="Intense Quote"/>
    <w:basedOn w:val="Normalny"/>
    <w:next w:val="Normalny"/>
    <w:link w:val="CytatintensywnyZnak"/>
    <w:uiPriority w:val="30"/>
    <w:qFormat/>
    <w:rsid w:val="00E5701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E5701B"/>
    <w:rPr>
      <w:i/>
      <w:iCs/>
      <w:color w:val="2E74B5" w:themeColor="accent1" w:themeShade="BF"/>
    </w:rPr>
  </w:style>
  <w:style w:type="character" w:styleId="Odwoanieintensywne">
    <w:name w:val="Intense Reference"/>
    <w:basedOn w:val="Domylnaczcionkaakapitu"/>
    <w:uiPriority w:val="32"/>
    <w:qFormat/>
    <w:rsid w:val="00E5701B"/>
    <w:rPr>
      <w:b/>
      <w:bCs/>
      <w:smallCaps/>
      <w:color w:val="2E74B5" w:themeColor="accent1" w:themeShade="BF"/>
      <w:spacing w:val="5"/>
    </w:rPr>
  </w:style>
  <w:style w:type="paragraph" w:customStyle="1" w:styleId="Default">
    <w:name w:val="Default"/>
    <w:rsid w:val="00E5701B"/>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Teksttreci2">
    <w:name w:val="Tekst treści (2)_"/>
    <w:basedOn w:val="Domylnaczcionkaakapitu"/>
    <w:link w:val="Teksttreci20"/>
    <w:rsid w:val="00E5701B"/>
    <w:rPr>
      <w:rFonts w:ascii="Tahoma" w:eastAsia="Tahoma" w:hAnsi="Tahoma" w:cs="Tahoma"/>
      <w:b/>
      <w:bCs/>
    </w:rPr>
  </w:style>
  <w:style w:type="paragraph" w:customStyle="1" w:styleId="Teksttreci20">
    <w:name w:val="Tekst treści (2)"/>
    <w:basedOn w:val="Normalny"/>
    <w:link w:val="Teksttreci2"/>
    <w:rsid w:val="00E5701B"/>
    <w:pPr>
      <w:widowControl w:val="0"/>
      <w:spacing w:after="260" w:line="240" w:lineRule="auto"/>
    </w:pPr>
    <w:rPr>
      <w:rFonts w:ascii="Tahoma" w:eastAsia="Tahoma" w:hAnsi="Tahoma" w:cs="Tahoma"/>
      <w:b/>
      <w:bCs/>
      <w:kern w:val="2"/>
      <w14:ligatures w14:val="standardContextual"/>
    </w:rPr>
  </w:style>
  <w:style w:type="paragraph" w:styleId="Nagwek">
    <w:name w:val="header"/>
    <w:basedOn w:val="Normalny"/>
    <w:link w:val="NagwekZnak"/>
    <w:uiPriority w:val="99"/>
    <w:unhideWhenUsed/>
    <w:rsid w:val="00E570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701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4582</Characters>
  <Application>Microsoft Office Word</Application>
  <DocSecurity>0</DocSecurity>
  <Lines>38</Lines>
  <Paragraphs>10</Paragraphs>
  <ScaleCrop>false</ScaleCrop>
  <Company>ORLEN S.A.</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Wartalska Katarzyna (OPD)</dc:creator>
  <cp:keywords/>
  <dc:description/>
  <cp:lastModifiedBy>Ruszyńska Marta (ORL)</cp:lastModifiedBy>
  <cp:revision>2</cp:revision>
  <dcterms:created xsi:type="dcterms:W3CDTF">2025-10-06T06:09:00Z</dcterms:created>
  <dcterms:modified xsi:type="dcterms:W3CDTF">2025-10-06T06:09:00Z</dcterms:modified>
</cp:coreProperties>
</file>